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GERMAN GUILLERMO RODRIGUEZ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AUTOMOTOR DIESEL S.A. - CENTRODIESEL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13 # 68B - 11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TELÉFONO:3166215476</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2021ER52724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AUTOMOTOR DIESEL S.A. - CENTRODIESEL identificada con NIT 860032115-6 y cuya sede inscrita fue la ubicada en Calle 13 # 68B - 11,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2765"/>
              <w:gridCol w:w="2757"/>
              <w:tblGridChange w:id="0">
                <w:tblGrid>
                  <w:gridCol w:w="2746"/>
                  <w:gridCol w:w="2765"/>
                  <w:gridCol w:w="2757"/>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AUTOMOTOR DIESEL S.A. - CENTRODIESEL</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9497" w:hRule="atLeast"/>
          <w:tblHeader w:val="0"/>
        </w:trPr>
        <w:tc>
          <w:tcPr>
            <w:shd w:fill="auto"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Brillith Morales Riveros,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obutvo 22 de los 25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profundizar sobre: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-Corroborar la etapa en la que se encuentra el proyecto,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el cumplimiento del cronograma, en caso de que se haya seleccionado el proveedor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-Descripción de la tecnología a implementar</w:t>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21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estandarización de criterios técnicos para la solicitud de cotizaciones a los proveedores, aumento en el número de cotizaciones realizadas y  mayor conocimiento sobre el dimensionamiento técnico del sistema solar fotovoltaico propuesto; se cuenta con indicadores formulados, sin embargo aún no es posible relacionar resultados asociados al proyecto. Se recomienda revisar los indicadores, estimar los resultados parciales que se tengan hasta el momento y revisar la pertinencia de la formulación de </w:t>
                  </w:r>
                  <w:r w:rsidDel="00000000" w:rsidR="00000000" w:rsidRPr="00000000">
                    <w:rPr>
                      <w:rFonts w:ascii="Arial" w:cs="Arial" w:eastAsia="Arial" w:hAnsi="Arial"/>
                      <w:sz w:val="22"/>
                      <w:szCs w:val="22"/>
                      <w:rtl w:val="0"/>
                    </w:rPr>
                    <w:t xml:space="preserve">indicadores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respecto a los resultados esperados. Finalmente, frente al cronograma inicialmente presentado se evidencia que hay un incumplimiento parcial respecto a las actividades planeadas, aunque, se reconoce la gestión adelantada </w:t>
                  </w:r>
                  <w:r w:rsidDel="00000000" w:rsidR="00000000" w:rsidRPr="00000000">
                    <w:rPr>
                      <w:rFonts w:ascii="Arial" w:cs="Arial" w:eastAsia="Arial" w:hAnsi="Arial"/>
                      <w:sz w:val="22"/>
                      <w:szCs w:val="22"/>
                      <w:rtl w:val="0"/>
                    </w:rPr>
                    <w:t xml:space="preserve">en torno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la formulación e implementación del proyecto.</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27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evaluación completa de proveedores con las respectivas aclaraciones frente a dudas e inquietudes en el proceso; el análisis de la financiación del proyecto, con base en los modelos PPA y llave en mano y la contratación de un consultor especialista para seleccionar la propuesta más viable; finalmente, se evidencia gran interés por parte de la alta dirección de la organización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90</w:t>
                  </w:r>
                  <w:r w:rsidDel="00000000" w:rsidR="00000000" w:rsidRPr="00000000">
                    <w:rPr>
                      <w:rtl w:val="0"/>
                    </w:rPr>
                  </w:r>
                </w:p>
              </w:tc>
            </w:tr>
          </w:tb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w:t>
                  </w:r>
                  <w:r w:rsidDel="00000000" w:rsidR="00000000" w:rsidRPr="00000000">
                    <w:rPr>
                      <w:rFonts w:ascii="Arial" w:cs="Arial" w:eastAsia="Arial" w:hAnsi="Arial"/>
                      <w:sz w:val="22"/>
                      <w:szCs w:val="22"/>
                      <w:rtl w:val="0"/>
                    </w:rPr>
                    <w:t xml:space="preserve">energía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solar fotovoltaico</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68 KWp, integrado por  168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405W de potencia y  2 inversores  30KW en un área total de  386 m2</w:t>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B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F">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n8Cxl/1G/00XLdcgY9PwrwWE4g==">AMUW2mUZY+C2XW1Pj9IzahKe9Y4CsHW3Vm7AMfXKrNF7gL2xCr0NRosuuyG4vPqdOiTBCPCJZAmNXfn7XrgoO7KBZpLd7hpBb33g1w2F7tzu8iS5KaY4glM=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2021-11-26T15:04:00Z</dcterms:created>
  <dc:creator>Jorge Manrique</dc:creator>
</cp:coreProperties>
</file>